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yhaleoslfhls" w:id="0"/>
      <w:bookmarkEnd w:id="0"/>
      <w:r w:rsidDel="00000000" w:rsidR="00000000" w:rsidRPr="00000000">
        <w:rPr>
          <w:rtl w:val="0"/>
        </w:rPr>
        <w:t xml:space="preserve">Симулация с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https://www.edaplayground.com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Testbench + Design: SystemVerilog/Verilog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Tools &amp; Simulators: Synopsys VCS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В testbench.sv копирате кода на теста и модела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Симулирате с Run и проверявате резултатите в прозореца Log.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Fonts w:ascii="Consolas" w:cs="Consolas" w:eastAsia="Consolas" w:hAnsi="Consolas"/>
          <w:sz w:val="24"/>
          <w:szCs w:val="24"/>
        </w:rPr>
        <w:drawing>
          <wp:inline distB="0" distT="0" distL="0" distR="0">
            <wp:extent cx="6739890" cy="5168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516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daplayground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